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0548" w14:textId="77777777" w:rsidR="00000000" w:rsidRPr="00802AA3" w:rsidRDefault="00000000"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14:paraId="0EBD4844" w14:textId="77777777" w:rsidR="00000000" w:rsidRPr="006A611D" w:rsidRDefault="00000000" w:rsidP="007166AE">
      <w:pPr>
        <w:pStyle w:val="ESIntroParagraph"/>
        <w:ind w:left="-567" w:right="1697" w:firstLine="1107"/>
        <w:rPr>
          <w:color w:val="595959" w:themeColor="text1" w:themeTint="A6"/>
        </w:rPr>
      </w:pPr>
      <w:r w:rsidRPr="006A611D">
        <w:rPr>
          <w:noProof/>
          <w:color w:val="595959" w:themeColor="text1" w:themeTint="A6"/>
        </w:rPr>
        <w:t>Norris Bank Primary School (3618)</w:t>
      </w:r>
    </w:p>
    <w:p w14:paraId="0E8A1985" w14:textId="77777777" w:rsidR="00000000" w:rsidRPr="008766A4" w:rsidRDefault="00000000" w:rsidP="007166AE">
      <w:pPr>
        <w:pStyle w:val="ESIntroParagraph"/>
        <w:ind w:left="-567" w:right="4330"/>
      </w:pPr>
    </w:p>
    <w:p w14:paraId="6301BB5C" w14:textId="77777777" w:rsidR="00000000" w:rsidRDefault="00000000" w:rsidP="007166AE">
      <w:pPr>
        <w:pStyle w:val="Heading1"/>
        <w:ind w:left="-567"/>
      </w:pPr>
    </w:p>
    <w:p w14:paraId="547DB387" w14:textId="77777777" w:rsidR="00000000" w:rsidRDefault="00000000" w:rsidP="007166AE">
      <w:pPr>
        <w:pStyle w:val="ESHeading2"/>
      </w:pPr>
    </w:p>
    <w:p w14:paraId="755D2C97" w14:textId="77777777" w:rsidR="00000000" w:rsidRDefault="00000000" w:rsidP="007166AE">
      <w:pPr>
        <w:pStyle w:val="ESHeading2"/>
      </w:pPr>
    </w:p>
    <w:p w14:paraId="128481F0" w14:textId="77777777" w:rsidR="00000000" w:rsidRDefault="00000000" w:rsidP="007166AE">
      <w:pPr>
        <w:pStyle w:val="ESHeading2"/>
      </w:pPr>
    </w:p>
    <w:p w14:paraId="00798904" w14:textId="77777777" w:rsidR="00000000" w:rsidRDefault="00000000" w:rsidP="007166AE">
      <w:pPr>
        <w:pStyle w:val="ESHeading2"/>
      </w:pPr>
    </w:p>
    <w:p w14:paraId="518A141A" w14:textId="77777777" w:rsidR="00000000" w:rsidRDefault="00000000" w:rsidP="007166AE">
      <w:pPr>
        <w:pStyle w:val="ESHeading2"/>
      </w:pPr>
    </w:p>
    <w:p w14:paraId="39320562" w14:textId="77777777" w:rsidR="00000000" w:rsidRDefault="00000000" w:rsidP="007166AE">
      <w:pPr>
        <w:pStyle w:val="ESHeading2"/>
      </w:pPr>
    </w:p>
    <w:p w14:paraId="4F056109" w14:textId="77777777" w:rsidR="00000000" w:rsidRPr="00CB0768" w:rsidRDefault="00000000" w:rsidP="007166AE">
      <w:pPr>
        <w:pStyle w:val="ESHeading2"/>
        <w:jc w:val="center"/>
      </w:pPr>
      <w:r>
        <w:rPr>
          <w:b w:val="0"/>
          <w:noProof/>
          <w:sz w:val="44"/>
          <w:szCs w:val="44"/>
        </w:rPr>
        <w:drawing>
          <wp:anchor distT="0" distB="0" distL="114300" distR="114300" simplePos="0" relativeHeight="251658240" behindDoc="1" locked="0" layoutInCell="1" allowOverlap="1" wp14:anchorId="1BC38F23" wp14:editId="3856F66D">
            <wp:simplePos x="0" y="0"/>
            <wp:positionH relativeFrom="page">
              <wp:align>center</wp:align>
            </wp:positionH>
            <wp:positionV relativeFrom="paragraph">
              <wp:posOffset>0</wp:posOffset>
            </wp:positionV>
            <wp:extent cx="3553321" cy="381053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553321" cy="3810532"/>
                    </a:xfrm>
                    <a:prstGeom prst="rect">
                      <a:avLst/>
                    </a:prstGeom>
                  </pic:spPr>
                </pic:pic>
              </a:graphicData>
            </a:graphic>
          </wp:anchor>
        </w:drawing>
      </w:r>
    </w:p>
    <w:p w14:paraId="1C686758" w14:textId="77777777" w:rsidR="00000000" w:rsidRDefault="00000000"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7B387CB9" wp14:editId="4115D033">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0D642F01" w14:textId="77777777" w:rsidR="00000000" w:rsidRDefault="00000000" w:rsidP="007166AE">
                            <w:pPr>
                              <w:pStyle w:val="ESBodyText"/>
                            </w:pPr>
                            <w:r>
                              <w:rPr>
                                <w:noProof/>
                              </w:rPr>
                              <w:t>Submitted for review by Sandra James (School Principal) on 19 October, 2023 at 10:38 AM</w:t>
                            </w:r>
                            <w:r>
                              <w:rPr>
                                <w:noProof/>
                              </w:rPr>
                              <w:br/>
                              <w:t>Endorsed by Anthony Simone (Senior Education Improvement Leader) on 19 October, 2023 at 11:24 AM</w:t>
                            </w:r>
                            <w:r>
                              <w:rPr>
                                <w:noProof/>
                              </w:rPr>
                              <w:br/>
                              <w:t>Endorsed by Anna Koh (School Council President) on 17 November, 2023 at 08:44 AM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Sandra James (School Principal) on 19 October, 2023 at 10:38 AM</w:t>
                        <w:br/>
                        <w:t>Endorsed by Anthony Simone (Senior Education Improvement Leader) on 19 October, 2023 at 11:24 AM</w:t>
                        <w:br/>
                        <w:t>Endorsed by Anna Koh (School Council President) on 17 November, 2023 at 08:44 AM</w:t>
                        <w:br/>
                      </w:r>
                    </w:p>
                  </w:txbxContent>
                </v:textbox>
                <w10:wrap anchorx="margin"/>
                <w10:anchorlock/>
              </v:shape>
            </w:pict>
          </mc:Fallback>
        </mc:AlternateContent>
      </w:r>
    </w:p>
    <w:p w14:paraId="6C5162F9" w14:textId="77777777" w:rsidR="00000000" w:rsidRPr="00802AA3"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094ED9A7" w14:textId="77777777" w:rsidR="00000000" w:rsidRDefault="00000000" w:rsidP="007166AE">
      <w:pPr>
        <w:pStyle w:val="ESIntroParagraph"/>
        <w:spacing w:after="120"/>
        <w:ind w:left="-539" w:right="-635" w:firstLine="27"/>
        <w:rPr>
          <w:color w:val="595959" w:themeColor="text1" w:themeTint="A6"/>
        </w:rPr>
      </w:pPr>
      <w:r w:rsidRPr="001D751E">
        <w:rPr>
          <w:noProof/>
          <w:color w:val="595959" w:themeColor="text1" w:themeTint="A6"/>
        </w:rPr>
        <w:t>Norris Bank Primary School (3618)</w:t>
      </w:r>
    </w:p>
    <w:p w14:paraId="3100A46D" w14:textId="77777777" w:rsidR="00000000" w:rsidRDefault="00000000"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4F2FF5" w14:paraId="1B2CE8EA" w14:textId="77777777" w:rsidTr="009B10A5">
        <w:trPr>
          <w:trHeight w:val="110"/>
        </w:trPr>
        <w:tc>
          <w:tcPr>
            <w:tcW w:w="3119" w:type="dxa"/>
            <w:shd w:val="clear" w:color="auto" w:fill="D9D9D9" w:themeFill="background1" w:themeFillShade="D9"/>
          </w:tcPr>
          <w:p w14:paraId="00B0AB64" w14:textId="77777777" w:rsidR="00000000" w:rsidRPr="001D6EDC" w:rsidRDefault="00000000"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14ABBAE0" w14:textId="77777777" w:rsidR="00000000" w:rsidRPr="004365C8" w:rsidRDefault="00000000" w:rsidP="009B10A5">
            <w:pPr>
              <w:pStyle w:val="ESBodyText"/>
              <w:spacing w:after="0"/>
              <w:rPr>
                <w:color w:val="FFFFFF" w:themeColor="background1"/>
                <w:sz w:val="20"/>
                <w:szCs w:val="24"/>
              </w:rPr>
            </w:pPr>
            <w:r>
              <w:rPr>
                <w:sz w:val="20"/>
              </w:rPr>
              <w:t>Norris Bank PS School will support every student to reach their social/ emotional and academic best regardless of personal circumstance.</w:t>
            </w:r>
          </w:p>
        </w:tc>
      </w:tr>
      <w:tr w:rsidR="004F2FF5" w14:paraId="6DA5BCF0" w14:textId="77777777" w:rsidTr="009B10A5">
        <w:trPr>
          <w:trHeight w:val="15"/>
        </w:trPr>
        <w:tc>
          <w:tcPr>
            <w:tcW w:w="3119" w:type="dxa"/>
            <w:shd w:val="clear" w:color="auto" w:fill="D9D9D9" w:themeFill="background1" w:themeFillShade="D9"/>
          </w:tcPr>
          <w:p w14:paraId="24F00734" w14:textId="77777777" w:rsidR="00000000" w:rsidRPr="001D6EDC" w:rsidRDefault="00000000"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27511BD7" w14:textId="77777777" w:rsidR="00000000" w:rsidRPr="00FE3D5C" w:rsidRDefault="00000000" w:rsidP="009B10A5">
            <w:pPr>
              <w:pStyle w:val="ESBodyText"/>
              <w:spacing w:after="0"/>
              <w:rPr>
                <w:sz w:val="20"/>
                <w:szCs w:val="24"/>
              </w:rPr>
            </w:pPr>
            <w:r>
              <w:rPr>
                <w:sz w:val="20"/>
              </w:rPr>
              <w:t>Our School Values are Kindness, Respect and Curiosity These values shape our conversations both with students, staff and the school community. These values guide our day-to-day interactions with everyone. We seek to understand our student's needs, interests and strengths and empower our students to reach their personal best through living these values in a safe and nurturing environment.</w:t>
            </w:r>
          </w:p>
        </w:tc>
      </w:tr>
      <w:tr w:rsidR="004F2FF5" w14:paraId="60E296D5" w14:textId="77777777" w:rsidTr="009B10A5">
        <w:trPr>
          <w:trHeight w:val="15"/>
        </w:trPr>
        <w:tc>
          <w:tcPr>
            <w:tcW w:w="3119" w:type="dxa"/>
            <w:shd w:val="clear" w:color="auto" w:fill="D9D9D9" w:themeFill="background1" w:themeFillShade="D9"/>
          </w:tcPr>
          <w:p w14:paraId="0A4E43BB" w14:textId="77777777" w:rsidR="00000000" w:rsidRPr="001D6EDC" w:rsidRDefault="00000000"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77891474" w14:textId="77777777" w:rsidR="00000000" w:rsidRPr="00FE3D5C" w:rsidRDefault="00000000" w:rsidP="009B10A5">
            <w:pPr>
              <w:pStyle w:val="ESBodyText"/>
              <w:spacing w:after="0"/>
              <w:rPr>
                <w:sz w:val="20"/>
                <w:szCs w:val="24"/>
              </w:rPr>
            </w:pPr>
            <w:r>
              <w:rPr>
                <w:sz w:val="20"/>
              </w:rPr>
              <w:t xml:space="preserve">Being a very small suburban school, our key challenges moving forward are consistency of our staffing profile. Being able to provide enough time allocation out of the classroom for capacity building in leadership roles and improving our Numeracy and Literacy results across the school. Also providing individualised high-level support to the high number of students requiring this on a daily basis be it from non-neuro-typical developmental delays or trauma or both. </w:t>
            </w:r>
            <w:r>
              <w:rPr>
                <w:sz w:val="20"/>
              </w:rPr>
              <w:br/>
              <w:t>Time taken in financing, maintaining or replacing aging buildings and large grounds to stay OHS compliant.</w:t>
            </w:r>
          </w:p>
        </w:tc>
      </w:tr>
      <w:tr w:rsidR="004F2FF5" w14:paraId="5C62617F" w14:textId="77777777" w:rsidTr="009B10A5">
        <w:trPr>
          <w:trHeight w:val="15"/>
        </w:trPr>
        <w:tc>
          <w:tcPr>
            <w:tcW w:w="3119" w:type="dxa"/>
            <w:shd w:val="clear" w:color="auto" w:fill="D9D9D9" w:themeFill="background1" w:themeFillShade="D9"/>
          </w:tcPr>
          <w:p w14:paraId="6FC14A69" w14:textId="77777777" w:rsidR="00000000" w:rsidRPr="001D6EDC" w:rsidRDefault="00000000" w:rsidP="009B10A5">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tcPr>
          <w:p w14:paraId="65508099" w14:textId="77777777" w:rsidR="00000000" w:rsidRPr="00FE3D5C" w:rsidRDefault="00000000" w:rsidP="009B10A5">
            <w:pPr>
              <w:pStyle w:val="ESBodyText"/>
              <w:spacing w:after="0"/>
              <w:rPr>
                <w:sz w:val="20"/>
                <w:szCs w:val="24"/>
              </w:rPr>
            </w:pPr>
            <w:r>
              <w:rPr>
                <w:sz w:val="20"/>
              </w:rPr>
              <w:t>Our school is trying to achieve excellence in Inclusive Practice and Curriculum Planning and Delivery in Numeracy, Literacy.</w:t>
            </w:r>
            <w:r>
              <w:rPr>
                <w:sz w:val="20"/>
              </w:rPr>
              <w:br/>
              <w:t>This is important as we believe all behaviour is a form of communication and having a high-level understanding and implementation of inclusive practice results in a safe, calm and orderly environment for optimal learning. Understanding how our students learn and exactly where they are all sitting in their Zone of Proximal Development through high level Data Literacy and quality planning processes is paramount to our student's success.</w:t>
            </w:r>
            <w:r>
              <w:rPr>
                <w:sz w:val="20"/>
              </w:rPr>
              <w:br/>
              <w:t>Our Strategic Plan is prioritising Wellbeing and Inclusive Practice and Curriculum Planning and Development.</w:t>
            </w:r>
            <w:r>
              <w:rPr>
                <w:sz w:val="20"/>
              </w:rPr>
              <w:br/>
              <w:t xml:space="preserve">Foci in 2024 </w:t>
            </w:r>
            <w:r>
              <w:rPr>
                <w:sz w:val="20"/>
              </w:rPr>
              <w:br/>
              <w:t xml:space="preserve"> - our whole school is undertaking the Berry Education Model Training and Northern School of Autism training to improve mental health practices and attendance. Regular attendance meetings are now scheduled by leadership with attendance plans and IEP's. Every class will have a full time ES staff member to support every teacher. Tutoring intervention will continue for those students deemed at risk.</w:t>
            </w:r>
            <w:r>
              <w:rPr>
                <w:sz w:val="20"/>
              </w:rPr>
              <w:br/>
              <w:t xml:space="preserve"> - Disability Inclusion Profiles will be prioritised in 2024 and led by the Assistant Principal.</w:t>
            </w:r>
            <w:r>
              <w:rPr>
                <w:sz w:val="20"/>
              </w:rPr>
              <w:br/>
              <w:t xml:space="preserve"> - Teaching timetables are being recreated to allow teachers to plan together in teams over a whole day. Locking in an uninterrupted block of non-face to face teaching time as a team with school leadership, will allow the development and embedding of an agreed whole school instructional model, curriculum planning and delivery.</w:t>
            </w:r>
            <w:r>
              <w:rPr>
                <w:sz w:val="20"/>
              </w:rPr>
              <w:br/>
              <w:t>- 2024 will see an increased focus on Numeracy Development and Early Years Literacy and Numeracy Development.</w:t>
            </w:r>
            <w:r>
              <w:rPr>
                <w:sz w:val="20"/>
              </w:rPr>
              <w:br/>
              <w:t>Foci in 2025</w:t>
            </w:r>
            <w:r>
              <w:rPr>
                <w:sz w:val="20"/>
              </w:rPr>
              <w:br/>
            </w:r>
            <w:r>
              <w:rPr>
                <w:sz w:val="20"/>
              </w:rPr>
              <w:lastRenderedPageBreak/>
              <w:t>- Continued development and establishment of agreed instructional model, curriculum planning and delivery.</w:t>
            </w:r>
            <w:r>
              <w:rPr>
                <w:sz w:val="20"/>
              </w:rPr>
              <w:br/>
              <w:t>- Increase in Student Voice and Agency.</w:t>
            </w:r>
            <w:r>
              <w:rPr>
                <w:sz w:val="20"/>
              </w:rPr>
              <w:br/>
            </w:r>
          </w:p>
        </w:tc>
      </w:tr>
    </w:tbl>
    <w:p w14:paraId="45431EE7" w14:textId="77777777" w:rsidR="00000000" w:rsidRDefault="00000000" w:rsidP="007166AE">
      <w:pPr>
        <w:pStyle w:val="ESIntroParagraph"/>
        <w:ind w:left="-567" w:right="1708" w:firstLine="27"/>
        <w:rPr>
          <w:color w:val="595959" w:themeColor="text1" w:themeTint="A6"/>
        </w:rPr>
      </w:pPr>
    </w:p>
    <w:p w14:paraId="3B054E9F" w14:textId="77777777" w:rsidR="00000000" w:rsidRDefault="00000000" w:rsidP="007166AE">
      <w:pPr>
        <w:pStyle w:val="ESIntroParagraph"/>
        <w:ind w:left="-567" w:right="1708" w:firstLine="27"/>
        <w:rPr>
          <w:color w:val="595959" w:themeColor="text1" w:themeTint="A6"/>
        </w:rPr>
      </w:pPr>
    </w:p>
    <w:p w14:paraId="55A60745" w14:textId="77777777" w:rsidR="00000000" w:rsidRDefault="00000000" w:rsidP="007166AE">
      <w:pPr>
        <w:pStyle w:val="ESIntroParagraph"/>
        <w:ind w:left="-567" w:right="1708" w:firstLine="27"/>
        <w:rPr>
          <w:color w:val="595959" w:themeColor="text1" w:themeTint="A6"/>
          <w:sz w:val="24"/>
          <w:szCs w:val="24"/>
        </w:rPr>
      </w:pPr>
    </w:p>
    <w:p w14:paraId="5D71D647" w14:textId="77777777" w:rsidR="00000000" w:rsidRDefault="00000000" w:rsidP="007166AE">
      <w:pPr>
        <w:pStyle w:val="ESIntroParagraph"/>
        <w:ind w:left="-567" w:right="1708" w:firstLine="27"/>
        <w:rPr>
          <w:color w:val="595959" w:themeColor="text1" w:themeTint="A6"/>
          <w:sz w:val="24"/>
          <w:szCs w:val="24"/>
        </w:rPr>
      </w:pPr>
    </w:p>
    <w:p w14:paraId="7336576D" w14:textId="77777777" w:rsidR="00000000" w:rsidRPr="00722E21" w:rsidRDefault="00000000" w:rsidP="007166AE">
      <w:pPr>
        <w:pStyle w:val="ESIntroParagraph"/>
        <w:ind w:left="-567" w:right="1708" w:firstLine="27"/>
        <w:rPr>
          <w:color w:val="595959" w:themeColor="text1" w:themeTint="A6"/>
          <w:sz w:val="20"/>
          <w:szCs w:val="20"/>
        </w:rPr>
      </w:pPr>
    </w:p>
    <w:p w14:paraId="06C4F78C" w14:textId="77777777" w:rsidR="00000000" w:rsidRPr="00B13A07" w:rsidRDefault="00000000"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4D596E94" w14:textId="77777777" w:rsidR="00000000"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7AF410DC" w14:textId="77777777" w:rsidR="00000000" w:rsidRDefault="00000000" w:rsidP="007166AE">
      <w:pPr>
        <w:ind w:left="-540" w:right="-632"/>
        <w:rPr>
          <w:color w:val="595959" w:themeColor="text1" w:themeTint="A6"/>
          <w:sz w:val="28"/>
          <w:szCs w:val="28"/>
        </w:rPr>
      </w:pPr>
      <w:r w:rsidRPr="00FA10DB">
        <w:rPr>
          <w:noProof/>
          <w:color w:val="595959" w:themeColor="text1" w:themeTint="A6"/>
          <w:sz w:val="28"/>
          <w:szCs w:val="28"/>
        </w:rPr>
        <w:t>Norris Bank Primary School (3618)</w:t>
      </w:r>
    </w:p>
    <w:p w14:paraId="0037B3BF" w14:textId="77777777" w:rsidR="00000000" w:rsidRDefault="00000000"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4F2FF5" w14:paraId="4B2E6559" w14:textId="77777777" w:rsidTr="009B10A5">
        <w:trPr>
          <w:trHeight w:val="15"/>
        </w:trPr>
        <w:tc>
          <w:tcPr>
            <w:tcW w:w="4055" w:type="dxa"/>
            <w:shd w:val="clear" w:color="auto" w:fill="D9D9D9" w:themeFill="background1" w:themeFillShade="D9"/>
          </w:tcPr>
          <w:p w14:paraId="73F7688C" w14:textId="77777777" w:rsidR="00000000" w:rsidRPr="001C2589" w:rsidRDefault="00000000"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7572AB9C" w14:textId="77777777" w:rsidR="00000000" w:rsidRDefault="00000000" w:rsidP="009B10A5">
            <w:pPr>
              <w:pStyle w:val="ESBodyText"/>
              <w:spacing w:after="0"/>
              <w:rPr>
                <w:sz w:val="20"/>
                <w:szCs w:val="24"/>
              </w:rPr>
            </w:pPr>
            <w:r>
              <w:rPr>
                <w:sz w:val="20"/>
                <w:szCs w:val="24"/>
              </w:rPr>
              <w:t>To optimise and accelerate the learning growth of every student.</w:t>
            </w:r>
          </w:p>
        </w:tc>
      </w:tr>
      <w:tr w:rsidR="004F2FF5" w14:paraId="04D5C3F2" w14:textId="77777777" w:rsidTr="009B10A5">
        <w:trPr>
          <w:trHeight w:val="15"/>
        </w:trPr>
        <w:tc>
          <w:tcPr>
            <w:tcW w:w="4055" w:type="dxa"/>
            <w:shd w:val="clear" w:color="auto" w:fill="D9D9D9" w:themeFill="background1" w:themeFillShade="D9"/>
          </w:tcPr>
          <w:p w14:paraId="4DF2F3E7" w14:textId="77777777" w:rsidR="00000000" w:rsidRDefault="00000000" w:rsidP="009B10A5">
            <w:pPr>
              <w:pStyle w:val="Heading3"/>
              <w:spacing w:before="0" w:after="0"/>
              <w:rPr>
                <w:szCs w:val="20"/>
              </w:rPr>
            </w:pPr>
            <w:r>
              <w:rPr>
                <w:szCs w:val="20"/>
              </w:rPr>
              <w:t>Target 1.1</w:t>
            </w:r>
          </w:p>
        </w:tc>
        <w:tc>
          <w:tcPr>
            <w:tcW w:w="11060" w:type="dxa"/>
            <w:shd w:val="clear" w:color="auto" w:fill="FFFFFF" w:themeFill="background1"/>
          </w:tcPr>
          <w:p w14:paraId="7C83C652" w14:textId="77777777" w:rsidR="004F2FF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the percentage of students assessed in the top two NAPLAN bands will increase:</w:t>
            </w:r>
          </w:p>
          <w:p w14:paraId="665C3D16" w14:textId="77777777" w:rsidR="004F2FF5" w:rsidRDefault="00000000">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 Year 3 Numeracy from 27 per cent in 2022 to 35 per cent</w:t>
            </w:r>
          </w:p>
          <w:p w14:paraId="7BA05439" w14:textId="77777777" w:rsidR="004F2FF5" w:rsidRDefault="0000000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 Year 5 Numeracy from 33 per cent in 2022 to 35 per cent</w:t>
            </w:r>
          </w:p>
          <w:p w14:paraId="50CC09BD" w14:textId="77777777" w:rsidR="004F2FF5" w:rsidRDefault="0000000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 Year 3 Writing from 42 per cent in 2022 to 50 per cent</w:t>
            </w:r>
          </w:p>
          <w:p w14:paraId="3E9E7B64" w14:textId="77777777" w:rsidR="004F2FF5" w:rsidRDefault="00000000">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 Year 5 Writing from 17 per cent in 2022 to 24 per cent</w:t>
            </w:r>
          </w:p>
          <w:p w14:paraId="60F07C19" w14:textId="77777777" w:rsidR="004F2FF5" w:rsidRDefault="004F2FF5"/>
        </w:tc>
      </w:tr>
      <w:tr w:rsidR="004F2FF5" w14:paraId="73B73222" w14:textId="77777777" w:rsidTr="009B10A5">
        <w:trPr>
          <w:trHeight w:val="15"/>
        </w:trPr>
        <w:tc>
          <w:tcPr>
            <w:tcW w:w="4055" w:type="dxa"/>
            <w:shd w:val="clear" w:color="auto" w:fill="D9D9D9" w:themeFill="background1" w:themeFillShade="D9"/>
          </w:tcPr>
          <w:p w14:paraId="17CACDDE" w14:textId="77777777" w:rsidR="00000000" w:rsidRDefault="00000000" w:rsidP="009B10A5">
            <w:pPr>
              <w:pStyle w:val="Heading3"/>
              <w:spacing w:before="0" w:after="0"/>
              <w:rPr>
                <w:szCs w:val="20"/>
              </w:rPr>
            </w:pPr>
            <w:r>
              <w:rPr>
                <w:szCs w:val="20"/>
              </w:rPr>
              <w:t>Target 1.2</w:t>
            </w:r>
          </w:p>
        </w:tc>
        <w:tc>
          <w:tcPr>
            <w:tcW w:w="11060" w:type="dxa"/>
            <w:shd w:val="clear" w:color="auto" w:fill="FFFFFF" w:themeFill="background1"/>
          </w:tcPr>
          <w:p w14:paraId="5A4884E7" w14:textId="77777777" w:rsidR="004F2FF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the percentage of Year 5 students assessed as meeting or above NAPLAN benchmark growth in numeracy will increase from 77 per cent in 2022 to 90 per cent.</w:t>
            </w:r>
          </w:p>
          <w:p w14:paraId="2B1F8828" w14:textId="77777777" w:rsidR="004F2FF5" w:rsidRDefault="004F2FF5"/>
        </w:tc>
      </w:tr>
      <w:tr w:rsidR="004F2FF5" w14:paraId="0BD63D27" w14:textId="77777777" w:rsidTr="009B10A5">
        <w:trPr>
          <w:trHeight w:val="15"/>
        </w:trPr>
        <w:tc>
          <w:tcPr>
            <w:tcW w:w="4055" w:type="dxa"/>
            <w:shd w:val="clear" w:color="auto" w:fill="D9D9D9" w:themeFill="background1" w:themeFillShade="D9"/>
          </w:tcPr>
          <w:p w14:paraId="560B26C1" w14:textId="77777777" w:rsidR="00000000" w:rsidRDefault="00000000" w:rsidP="009B10A5">
            <w:pPr>
              <w:pStyle w:val="Heading3"/>
              <w:spacing w:before="0" w:after="0"/>
              <w:rPr>
                <w:szCs w:val="20"/>
              </w:rPr>
            </w:pPr>
            <w:r>
              <w:rPr>
                <w:szCs w:val="20"/>
              </w:rPr>
              <w:t>Target 1.3</w:t>
            </w:r>
          </w:p>
        </w:tc>
        <w:tc>
          <w:tcPr>
            <w:tcW w:w="11060" w:type="dxa"/>
            <w:shd w:val="clear" w:color="auto" w:fill="FFFFFF" w:themeFill="background1"/>
          </w:tcPr>
          <w:p w14:paraId="04DAA33E" w14:textId="77777777" w:rsidR="004F2FF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the percentage of Year 5 students assessed as meeting or above NAPLAN benchmark growth in writing will increase from 92.3 per cent in 2022 to 93 per cent.</w:t>
            </w:r>
          </w:p>
          <w:p w14:paraId="52B52EEE" w14:textId="77777777" w:rsidR="004F2FF5" w:rsidRDefault="004F2FF5"/>
        </w:tc>
      </w:tr>
      <w:tr w:rsidR="004F2FF5" w14:paraId="1FAEDA96" w14:textId="77777777" w:rsidTr="009B10A5">
        <w:trPr>
          <w:trHeight w:val="15"/>
        </w:trPr>
        <w:tc>
          <w:tcPr>
            <w:tcW w:w="4055" w:type="dxa"/>
            <w:shd w:val="clear" w:color="auto" w:fill="FFD062"/>
          </w:tcPr>
          <w:p w14:paraId="34F4A8BB" w14:textId="77777777" w:rsidR="00000000" w:rsidRDefault="00000000" w:rsidP="009B10A5">
            <w:pPr>
              <w:pStyle w:val="Heading3"/>
              <w:spacing w:before="0" w:after="0"/>
              <w:rPr>
                <w:szCs w:val="20"/>
              </w:rPr>
            </w:pPr>
            <w:r>
              <w:rPr>
                <w:szCs w:val="20"/>
              </w:rPr>
              <w:t>Key Improvement Strategy 1.a</w:t>
            </w:r>
          </w:p>
          <w:p w14:paraId="28F9E42E" w14:textId="77777777" w:rsidR="004F2FF5" w:rsidRDefault="00000000">
            <w:r>
              <w:rPr>
                <w:sz w:val="20"/>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15B36ED0" w14:textId="77777777" w:rsidR="00000000" w:rsidRPr="00FE3D5C" w:rsidRDefault="00000000" w:rsidP="009B10A5">
            <w:pPr>
              <w:pStyle w:val="ESBodyText"/>
              <w:spacing w:after="0"/>
              <w:rPr>
                <w:sz w:val="20"/>
                <w:szCs w:val="24"/>
              </w:rPr>
            </w:pPr>
            <w:r>
              <w:rPr>
                <w:sz w:val="20"/>
              </w:rPr>
              <w:t>Develop, document, and embed an agreed instructional model for teaching and learning.</w:t>
            </w:r>
          </w:p>
        </w:tc>
      </w:tr>
      <w:tr w:rsidR="004F2FF5" w14:paraId="5685832B" w14:textId="77777777" w:rsidTr="009B10A5">
        <w:trPr>
          <w:trHeight w:val="15"/>
        </w:trPr>
        <w:tc>
          <w:tcPr>
            <w:tcW w:w="4055" w:type="dxa"/>
            <w:shd w:val="clear" w:color="auto" w:fill="58BFBD"/>
          </w:tcPr>
          <w:p w14:paraId="120468BD" w14:textId="77777777" w:rsidR="00000000" w:rsidRDefault="00000000" w:rsidP="009B10A5">
            <w:pPr>
              <w:pStyle w:val="Heading3"/>
              <w:spacing w:before="0" w:after="0"/>
              <w:rPr>
                <w:szCs w:val="20"/>
              </w:rPr>
            </w:pPr>
            <w:r>
              <w:rPr>
                <w:szCs w:val="20"/>
              </w:rPr>
              <w:lastRenderedPageBreak/>
              <w:t>Key Improvement Strategy 1.b</w:t>
            </w:r>
          </w:p>
          <w:p w14:paraId="4E32CFA2" w14:textId="77777777" w:rsidR="004F2FF5" w:rsidRDefault="00000000">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0E5463CE" w14:textId="77777777" w:rsidR="00000000" w:rsidRPr="00FE3D5C" w:rsidRDefault="00000000" w:rsidP="009B10A5">
            <w:pPr>
              <w:pStyle w:val="ESBodyText"/>
              <w:spacing w:after="0"/>
              <w:rPr>
                <w:sz w:val="20"/>
                <w:szCs w:val="24"/>
              </w:rPr>
            </w:pPr>
            <w:r>
              <w:rPr>
                <w:sz w:val="20"/>
              </w:rPr>
              <w:t>Develop a common approach to curriculum planning and documentation across the school.</w:t>
            </w:r>
          </w:p>
        </w:tc>
      </w:tr>
      <w:tr w:rsidR="004F2FF5" w14:paraId="30139CC1" w14:textId="77777777" w:rsidTr="009B10A5">
        <w:trPr>
          <w:trHeight w:val="15"/>
        </w:trPr>
        <w:tc>
          <w:tcPr>
            <w:tcW w:w="4055" w:type="dxa"/>
            <w:shd w:val="clear" w:color="auto" w:fill="57B5E7"/>
          </w:tcPr>
          <w:p w14:paraId="5B05DE56" w14:textId="77777777" w:rsidR="00000000" w:rsidRDefault="00000000" w:rsidP="009B10A5">
            <w:pPr>
              <w:pStyle w:val="Heading3"/>
              <w:spacing w:before="0" w:after="0"/>
              <w:rPr>
                <w:szCs w:val="20"/>
              </w:rPr>
            </w:pPr>
            <w:r>
              <w:rPr>
                <w:szCs w:val="20"/>
              </w:rPr>
              <w:t>Key Improvement Strategy 1.c</w:t>
            </w:r>
          </w:p>
          <w:p w14:paraId="0B2F81A8" w14:textId="77777777" w:rsidR="004F2FF5" w:rsidRDefault="00000000">
            <w:r>
              <w:rPr>
                <w:sz w:val="20"/>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tcPr>
          <w:p w14:paraId="388DB989" w14:textId="77777777" w:rsidR="00000000" w:rsidRPr="00FE3D5C" w:rsidRDefault="00000000" w:rsidP="009B10A5">
            <w:pPr>
              <w:pStyle w:val="ESBodyText"/>
              <w:spacing w:after="0"/>
              <w:rPr>
                <w:sz w:val="20"/>
                <w:szCs w:val="24"/>
              </w:rPr>
            </w:pPr>
            <w:r>
              <w:rPr>
                <w:sz w:val="20"/>
              </w:rPr>
              <w:t>Strengthen teacher capacity through PLCs to expertly analyse and use learning and wellbeing data to inform differentiated learning.</w:t>
            </w:r>
          </w:p>
        </w:tc>
      </w:tr>
      <w:tr w:rsidR="004F2FF5" w14:paraId="153EBD5A" w14:textId="77777777" w:rsidTr="009B10A5">
        <w:trPr>
          <w:trHeight w:val="15"/>
        </w:trPr>
        <w:tc>
          <w:tcPr>
            <w:tcW w:w="4055" w:type="dxa"/>
            <w:shd w:val="clear" w:color="auto" w:fill="D9D9D9" w:themeFill="background1" w:themeFillShade="D9"/>
          </w:tcPr>
          <w:p w14:paraId="7B7165BC" w14:textId="77777777" w:rsidR="00000000" w:rsidRPr="001C2589" w:rsidRDefault="00000000"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4858E464" w14:textId="77777777" w:rsidR="00000000" w:rsidRDefault="00000000" w:rsidP="009B10A5">
            <w:pPr>
              <w:pStyle w:val="ESBodyText"/>
              <w:spacing w:after="0"/>
              <w:rPr>
                <w:sz w:val="20"/>
                <w:szCs w:val="24"/>
              </w:rPr>
            </w:pPr>
            <w:r>
              <w:rPr>
                <w:sz w:val="20"/>
                <w:szCs w:val="24"/>
              </w:rPr>
              <w:t>To improve student agency and voice to actively engage in learning and well-being.</w:t>
            </w:r>
          </w:p>
        </w:tc>
      </w:tr>
      <w:tr w:rsidR="004F2FF5" w14:paraId="32ABE744" w14:textId="77777777" w:rsidTr="009B10A5">
        <w:trPr>
          <w:trHeight w:val="15"/>
        </w:trPr>
        <w:tc>
          <w:tcPr>
            <w:tcW w:w="4055" w:type="dxa"/>
            <w:shd w:val="clear" w:color="auto" w:fill="D9D9D9" w:themeFill="background1" w:themeFillShade="D9"/>
          </w:tcPr>
          <w:p w14:paraId="22F2E430" w14:textId="77777777" w:rsidR="00000000" w:rsidRDefault="00000000" w:rsidP="009B10A5">
            <w:pPr>
              <w:pStyle w:val="Heading3"/>
              <w:spacing w:before="0" w:after="0"/>
              <w:rPr>
                <w:szCs w:val="20"/>
              </w:rPr>
            </w:pPr>
            <w:r>
              <w:rPr>
                <w:szCs w:val="20"/>
              </w:rPr>
              <w:t>Target 2.1</w:t>
            </w:r>
          </w:p>
        </w:tc>
        <w:tc>
          <w:tcPr>
            <w:tcW w:w="11060" w:type="dxa"/>
            <w:shd w:val="clear" w:color="auto" w:fill="FFFFFF" w:themeFill="background1"/>
          </w:tcPr>
          <w:p w14:paraId="5B28CBA5" w14:textId="77777777" w:rsidR="004F2FF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the percentage of students having less than 20 days of approved absences per year will increase from 51% in 2022 to 64%</w:t>
            </w:r>
          </w:p>
          <w:p w14:paraId="47195A59" w14:textId="77777777" w:rsidR="004F2FF5" w:rsidRDefault="004F2FF5"/>
        </w:tc>
      </w:tr>
      <w:tr w:rsidR="004F2FF5" w14:paraId="0D45A7AE" w14:textId="77777777" w:rsidTr="009B10A5">
        <w:trPr>
          <w:trHeight w:val="15"/>
        </w:trPr>
        <w:tc>
          <w:tcPr>
            <w:tcW w:w="4055" w:type="dxa"/>
            <w:shd w:val="clear" w:color="auto" w:fill="D9D9D9" w:themeFill="background1" w:themeFillShade="D9"/>
          </w:tcPr>
          <w:p w14:paraId="07D3FADE" w14:textId="77777777" w:rsidR="00000000" w:rsidRDefault="00000000" w:rsidP="009B10A5">
            <w:pPr>
              <w:pStyle w:val="Heading3"/>
              <w:spacing w:before="0" w:after="0"/>
              <w:rPr>
                <w:szCs w:val="20"/>
              </w:rPr>
            </w:pPr>
            <w:r>
              <w:rPr>
                <w:szCs w:val="20"/>
              </w:rPr>
              <w:t>Target 2.2</w:t>
            </w:r>
          </w:p>
        </w:tc>
        <w:tc>
          <w:tcPr>
            <w:tcW w:w="11060" w:type="dxa"/>
            <w:shd w:val="clear" w:color="auto" w:fill="FFFFFF" w:themeFill="background1"/>
          </w:tcPr>
          <w:p w14:paraId="6A4BBDFC" w14:textId="77777777" w:rsidR="004F2FF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the percentage of students reporting positive endorsement to the student Attitudes to School Survey measures will increase for:</w:t>
            </w:r>
          </w:p>
          <w:p w14:paraId="76C4543F" w14:textId="77777777" w:rsidR="004F2FF5" w:rsidRDefault="00000000">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voice and agency factor from 53% in 2022 to 65%</w:t>
            </w:r>
          </w:p>
          <w:p w14:paraId="64E0DDB6" w14:textId="77777777" w:rsidR="004F2FF5" w:rsidRDefault="00000000">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resilience from 58% in 2022 to 64%</w:t>
            </w:r>
          </w:p>
          <w:p w14:paraId="21A66D74" w14:textId="77777777" w:rsidR="004F2FF5" w:rsidRDefault="00000000">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sense of confidence from 68% in 2022 to 75%</w:t>
            </w:r>
          </w:p>
          <w:p w14:paraId="08C1C8EB" w14:textId="77777777" w:rsidR="004F2FF5" w:rsidRDefault="004F2FF5"/>
        </w:tc>
      </w:tr>
      <w:tr w:rsidR="004F2FF5" w14:paraId="4626EBE4" w14:textId="77777777" w:rsidTr="009B10A5">
        <w:trPr>
          <w:trHeight w:val="15"/>
        </w:trPr>
        <w:tc>
          <w:tcPr>
            <w:tcW w:w="4055" w:type="dxa"/>
            <w:shd w:val="clear" w:color="auto" w:fill="D9D9D9" w:themeFill="background1" w:themeFillShade="D9"/>
          </w:tcPr>
          <w:p w14:paraId="443E7C8D" w14:textId="77777777" w:rsidR="00000000" w:rsidRDefault="00000000" w:rsidP="009B10A5">
            <w:pPr>
              <w:pStyle w:val="Heading3"/>
              <w:spacing w:before="0" w:after="0"/>
              <w:rPr>
                <w:szCs w:val="20"/>
              </w:rPr>
            </w:pPr>
            <w:r>
              <w:rPr>
                <w:szCs w:val="20"/>
              </w:rPr>
              <w:t>Target 2.3</w:t>
            </w:r>
          </w:p>
        </w:tc>
        <w:tc>
          <w:tcPr>
            <w:tcW w:w="11060" w:type="dxa"/>
            <w:shd w:val="clear" w:color="auto" w:fill="FFFFFF" w:themeFill="background1"/>
          </w:tcPr>
          <w:p w14:paraId="2C3D0BDC" w14:textId="77777777" w:rsidR="004F2FF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percentage of parents reporting positive endorsement to the Parent Opinion Survey measure:</w:t>
            </w:r>
          </w:p>
          <w:p w14:paraId="3CFCBA35" w14:textId="77777777" w:rsidR="004F2FF5" w:rsidRDefault="00000000">
            <w:pPr>
              <w:numPr>
                <w:ilvl w:val="0"/>
                <w:numId w:val="20"/>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High expectations for success from 85% in 2022 to 87%</w:t>
            </w:r>
          </w:p>
          <w:p w14:paraId="46806170" w14:textId="77777777" w:rsidR="004F2FF5" w:rsidRDefault="004F2FF5"/>
        </w:tc>
      </w:tr>
      <w:tr w:rsidR="004F2FF5" w14:paraId="3A2B288C" w14:textId="77777777" w:rsidTr="009B10A5">
        <w:trPr>
          <w:trHeight w:val="15"/>
        </w:trPr>
        <w:tc>
          <w:tcPr>
            <w:tcW w:w="4055" w:type="dxa"/>
            <w:shd w:val="clear" w:color="auto" w:fill="D9D9D9" w:themeFill="background1" w:themeFillShade="D9"/>
          </w:tcPr>
          <w:p w14:paraId="5E345A60" w14:textId="77777777" w:rsidR="00000000" w:rsidRDefault="00000000" w:rsidP="009B10A5">
            <w:pPr>
              <w:pStyle w:val="Heading3"/>
              <w:spacing w:before="0" w:after="0"/>
              <w:rPr>
                <w:szCs w:val="20"/>
              </w:rPr>
            </w:pPr>
            <w:r>
              <w:rPr>
                <w:szCs w:val="20"/>
              </w:rPr>
              <w:lastRenderedPageBreak/>
              <w:t>Target 2.4</w:t>
            </w:r>
          </w:p>
        </w:tc>
        <w:tc>
          <w:tcPr>
            <w:tcW w:w="11060" w:type="dxa"/>
            <w:shd w:val="clear" w:color="auto" w:fill="FFFFFF" w:themeFill="background1"/>
          </w:tcPr>
          <w:p w14:paraId="197BF8D5" w14:textId="77777777" w:rsidR="004F2FF5"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percentage of staff reporting positive endorsement to the School Staff Survey measure</w:t>
            </w:r>
          </w:p>
          <w:p w14:paraId="4405C2B2" w14:textId="77777777" w:rsidR="004F2FF5" w:rsidRDefault="00000000">
            <w:pPr>
              <w:numPr>
                <w:ilvl w:val="0"/>
                <w:numId w:val="21"/>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Parent and Community Involvement  from 56% in 2022 to 67%</w:t>
            </w:r>
          </w:p>
          <w:p w14:paraId="2C0AECCC" w14:textId="77777777" w:rsidR="004F2FF5" w:rsidRDefault="004F2FF5"/>
        </w:tc>
      </w:tr>
      <w:tr w:rsidR="004F2FF5" w14:paraId="6F896C09" w14:textId="77777777" w:rsidTr="009B10A5">
        <w:trPr>
          <w:trHeight w:val="15"/>
        </w:trPr>
        <w:tc>
          <w:tcPr>
            <w:tcW w:w="4055" w:type="dxa"/>
            <w:shd w:val="clear" w:color="auto" w:fill="F8CDDB"/>
          </w:tcPr>
          <w:p w14:paraId="24BF65EB" w14:textId="77777777" w:rsidR="00000000" w:rsidRDefault="00000000" w:rsidP="009B10A5">
            <w:pPr>
              <w:pStyle w:val="Heading3"/>
              <w:spacing w:before="0" w:after="0"/>
              <w:rPr>
                <w:szCs w:val="20"/>
              </w:rPr>
            </w:pPr>
            <w:r>
              <w:rPr>
                <w:szCs w:val="20"/>
              </w:rPr>
              <w:t>Key Improvement Strategy 2.a</w:t>
            </w:r>
          </w:p>
          <w:p w14:paraId="5DB5A0CA" w14:textId="77777777" w:rsidR="004F2FF5" w:rsidRDefault="00000000">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1BE65CF9" w14:textId="77777777" w:rsidR="00000000" w:rsidRPr="00FE3D5C" w:rsidRDefault="00000000" w:rsidP="009B10A5">
            <w:pPr>
              <w:pStyle w:val="ESBodyText"/>
              <w:spacing w:after="0"/>
              <w:rPr>
                <w:sz w:val="20"/>
                <w:szCs w:val="24"/>
              </w:rPr>
            </w:pPr>
            <w:r>
              <w:rPr>
                <w:sz w:val="20"/>
              </w:rPr>
              <w:t>Embed a whole-school approach to student agency in learning and wellbeing</w:t>
            </w:r>
          </w:p>
        </w:tc>
      </w:tr>
      <w:tr w:rsidR="004F2FF5" w14:paraId="5CD2EE69" w14:textId="77777777" w:rsidTr="009B10A5">
        <w:trPr>
          <w:trHeight w:val="15"/>
        </w:trPr>
        <w:tc>
          <w:tcPr>
            <w:tcW w:w="4055" w:type="dxa"/>
            <w:shd w:val="clear" w:color="auto" w:fill="F8CDDB"/>
          </w:tcPr>
          <w:p w14:paraId="06027C3A" w14:textId="77777777" w:rsidR="00000000" w:rsidRDefault="00000000" w:rsidP="009B10A5">
            <w:pPr>
              <w:pStyle w:val="Heading3"/>
              <w:spacing w:before="0" w:after="0"/>
              <w:rPr>
                <w:szCs w:val="20"/>
              </w:rPr>
            </w:pPr>
            <w:r>
              <w:rPr>
                <w:szCs w:val="20"/>
              </w:rPr>
              <w:t>Key Improvement Strategy 2.b</w:t>
            </w:r>
          </w:p>
          <w:p w14:paraId="2864605D" w14:textId="77777777" w:rsidR="004F2FF5" w:rsidRDefault="00000000">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2DD19878" w14:textId="77777777" w:rsidR="00000000" w:rsidRPr="00FE3D5C" w:rsidRDefault="00000000" w:rsidP="009B10A5">
            <w:pPr>
              <w:pStyle w:val="ESBodyText"/>
              <w:spacing w:after="0"/>
              <w:rPr>
                <w:sz w:val="20"/>
                <w:szCs w:val="24"/>
              </w:rPr>
            </w:pPr>
            <w:r>
              <w:rPr>
                <w:sz w:val="20"/>
              </w:rPr>
              <w:t>Embed a whole-school approach to improving attendance rates through a consistent approach to supporting students’ sense of confidence and connectedness</w:t>
            </w:r>
          </w:p>
        </w:tc>
      </w:tr>
      <w:tr w:rsidR="004F2FF5" w14:paraId="684DA48D" w14:textId="77777777" w:rsidTr="009B10A5">
        <w:trPr>
          <w:trHeight w:val="15"/>
        </w:trPr>
        <w:tc>
          <w:tcPr>
            <w:tcW w:w="4055" w:type="dxa"/>
            <w:shd w:val="clear" w:color="auto" w:fill="D2ACD0"/>
          </w:tcPr>
          <w:p w14:paraId="2311228A" w14:textId="77777777" w:rsidR="00000000" w:rsidRDefault="00000000" w:rsidP="009B10A5">
            <w:pPr>
              <w:pStyle w:val="Heading3"/>
              <w:spacing w:before="0" w:after="0"/>
              <w:rPr>
                <w:szCs w:val="20"/>
              </w:rPr>
            </w:pPr>
            <w:r>
              <w:rPr>
                <w:szCs w:val="20"/>
              </w:rPr>
              <w:t>Key Improvement Strategy 2.c</w:t>
            </w:r>
          </w:p>
          <w:p w14:paraId="6366CD4A" w14:textId="77777777" w:rsidR="004F2FF5" w:rsidRDefault="00000000">
            <w:r>
              <w:rPr>
                <w:sz w:val="20"/>
              </w:rPr>
              <w:t xml:space="preserve">Responsive, tiered and contextualised approaches and strong relationships to support student learning, wellbeing and inclusion </w:t>
            </w:r>
          </w:p>
        </w:tc>
        <w:tc>
          <w:tcPr>
            <w:tcW w:w="11060" w:type="dxa"/>
            <w:shd w:val="clear" w:color="auto" w:fill="FFFFFF" w:themeFill="background1"/>
          </w:tcPr>
          <w:p w14:paraId="79DE82D2" w14:textId="77777777" w:rsidR="00000000" w:rsidRPr="00FE3D5C" w:rsidRDefault="00000000" w:rsidP="009B10A5">
            <w:pPr>
              <w:pStyle w:val="ESBodyText"/>
              <w:spacing w:after="0"/>
              <w:rPr>
                <w:sz w:val="20"/>
                <w:szCs w:val="24"/>
              </w:rPr>
            </w:pPr>
            <w:r>
              <w:rPr>
                <w:sz w:val="20"/>
              </w:rPr>
              <w:t>Develop, document, and embed positive mental health approaches across the school</w:t>
            </w:r>
          </w:p>
        </w:tc>
      </w:tr>
    </w:tbl>
    <w:p w14:paraId="05AEB594" w14:textId="77777777" w:rsidR="00000000" w:rsidRPr="00FA10DB" w:rsidRDefault="00000000" w:rsidP="007166AE">
      <w:pPr>
        <w:ind w:right="-632"/>
        <w:rPr>
          <w:b/>
          <w:color w:val="AF272F"/>
          <w:sz w:val="36"/>
          <w:szCs w:val="44"/>
        </w:rPr>
      </w:pPr>
    </w:p>
    <w:p w14:paraId="1A78A803" w14:textId="77777777" w:rsidR="004F2FF5" w:rsidRDefault="004F2FF5"/>
    <w:p w14:paraId="21D24C3D" w14:textId="77777777" w:rsidR="004F2FF5" w:rsidRDefault="004F2FF5"/>
    <w:sectPr w:rsidR="004F2FF5"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04CA" w14:textId="77777777" w:rsidR="005127A0" w:rsidRDefault="005127A0">
      <w:pPr>
        <w:spacing w:after="0" w:line="240" w:lineRule="auto"/>
      </w:pPr>
      <w:r>
        <w:separator/>
      </w:r>
    </w:p>
  </w:endnote>
  <w:endnote w:type="continuationSeparator" w:id="0">
    <w:p w14:paraId="77A8E99A" w14:textId="77777777" w:rsidR="005127A0" w:rsidRDefault="0051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5F1A" w14:textId="77777777" w:rsidR="00000000"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3E442F5" w14:textId="77777777" w:rsidR="00000000"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3649" w14:textId="77777777" w:rsidR="00000000" w:rsidRPr="003E29B5" w:rsidRDefault="00000000" w:rsidP="00B076DB">
    <w:r w:rsidRPr="000C104E">
      <w:rPr>
        <w:noProof/>
        <w:lang w:val="en-AU" w:eastAsia="en-AU"/>
      </w:rPr>
      <w:drawing>
        <wp:anchor distT="0" distB="0" distL="114300" distR="114300" simplePos="0" relativeHeight="251674624" behindDoc="1" locked="0" layoutInCell="1" allowOverlap="1" wp14:anchorId="0855A8D4" wp14:editId="593A90C0">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1CD6" w14:textId="77777777" w:rsidR="00000000" w:rsidRPr="007839E6" w:rsidRDefault="00000000" w:rsidP="00362A9C">
    <w:pPr>
      <w:pStyle w:val="ESImageorGraphTitle"/>
      <w:rPr>
        <w:b w:val="0"/>
        <w:sz w:val="15"/>
        <w:szCs w:val="15"/>
      </w:rPr>
    </w:pPr>
    <w:r w:rsidRPr="007839E6">
      <w:rPr>
        <w:b w:val="0"/>
        <w:noProof/>
        <w:sz w:val="15"/>
        <w:szCs w:val="15"/>
      </w:rPr>
      <w:t>Norris Bank Primary School (3618)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46AD2E0E" wp14:editId="7CCCADCB">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0748029B" w14:textId="77777777" w:rsidR="00000000" w:rsidRPr="007B2B29" w:rsidRDefault="0000000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6B79" w14:textId="77777777" w:rsidR="00000000" w:rsidRPr="00793BFC" w:rsidRDefault="00000000" w:rsidP="00793BFC">
    <w:pPr>
      <w:pStyle w:val="ESSubheading1"/>
      <w:ind w:firstLine="567"/>
      <w:rPr>
        <w:sz w:val="15"/>
        <w:szCs w:val="15"/>
      </w:rPr>
    </w:pPr>
    <w:r w:rsidRPr="00793BFC">
      <w:rPr>
        <w:noProof/>
        <w:sz w:val="15"/>
        <w:szCs w:val="15"/>
      </w:rPr>
      <w:t>Norris Bank Primary School (3618) - School Strategic Plan</w:t>
    </w:r>
    <w:r w:rsidRPr="00793BFC">
      <w:rPr>
        <w:noProof/>
        <w:sz w:val="15"/>
        <w:szCs w:val="15"/>
      </w:rPr>
      <w:drawing>
        <wp:anchor distT="0" distB="0" distL="114300" distR="114300" simplePos="0" relativeHeight="251663360" behindDoc="1" locked="0" layoutInCell="1" allowOverlap="1" wp14:anchorId="01BC56C2" wp14:editId="3159127D">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35F5B927"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CFA1" w14:textId="77777777" w:rsidR="005127A0" w:rsidRDefault="005127A0">
      <w:pPr>
        <w:spacing w:after="0" w:line="240" w:lineRule="auto"/>
      </w:pPr>
      <w:r>
        <w:separator/>
      </w:r>
    </w:p>
  </w:footnote>
  <w:footnote w:type="continuationSeparator" w:id="0">
    <w:p w14:paraId="3299FE66" w14:textId="77777777" w:rsidR="005127A0" w:rsidRDefault="0051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CBB8" w14:textId="77777777" w:rsidR="00000000" w:rsidRDefault="00000000">
    <w:r>
      <w:rPr>
        <w:noProof/>
      </w:rPr>
      <mc:AlternateContent>
        <mc:Choice Requires="wps">
          <w:drawing>
            <wp:anchor distT="0" distB="0" distL="114300" distR="114300" simplePos="0" relativeHeight="251666432" behindDoc="0" locked="0" layoutInCell="1" allowOverlap="1" wp14:anchorId="65F1FADF" wp14:editId="0F3220D2">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71A8F53" w14:textId="77777777" w:rsidR="00000000"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BBB9" w14:textId="77777777" w:rsidR="00000000" w:rsidRDefault="00000000">
    <w:pPr>
      <w:pStyle w:val="Header"/>
    </w:pPr>
    <w:r w:rsidRPr="000C104E">
      <w:rPr>
        <w:noProof/>
        <w:lang w:val="en-AU" w:eastAsia="en-AU"/>
      </w:rPr>
      <w:drawing>
        <wp:anchor distT="0" distB="0" distL="114300" distR="114300" simplePos="0" relativeHeight="251672576" behindDoc="1" locked="0" layoutInCell="1" allowOverlap="1" wp14:anchorId="1121C9AC" wp14:editId="5842737F">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B197529"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C783" w14:textId="77777777" w:rsidR="00000000" w:rsidRDefault="00000000">
    <w:r>
      <w:rPr>
        <w:noProof/>
      </w:rPr>
      <mc:AlternateContent>
        <mc:Choice Requires="wps">
          <w:drawing>
            <wp:anchor distT="0" distB="0" distL="114300" distR="114300" simplePos="0" relativeHeight="251664384" behindDoc="0" locked="0" layoutInCell="1" allowOverlap="1" wp14:anchorId="36CFF762" wp14:editId="63523813">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E78B514" w14:textId="77777777" w:rsidR="00000000"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6A22" w14:textId="77777777" w:rsidR="00000000" w:rsidRDefault="00000000">
    <w:r>
      <w:rPr>
        <w:noProof/>
        <w:lang w:val="en-AU" w:eastAsia="en-AU"/>
      </w:rPr>
      <mc:AlternateContent>
        <mc:Choice Requires="wps">
          <w:drawing>
            <wp:anchor distT="0" distB="0" distL="114300" distR="114300" simplePos="0" relativeHeight="251670528" behindDoc="0" locked="0" layoutInCell="1" allowOverlap="1" wp14:anchorId="643E2A0F" wp14:editId="3FE076A3">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A178D0A"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C08B" w14:textId="77777777" w:rsidR="00000000" w:rsidRDefault="00000000">
    <w:r w:rsidRPr="000C104E">
      <w:rPr>
        <w:noProof/>
        <w:lang w:val="en-AU" w:eastAsia="en-AU"/>
      </w:rPr>
      <w:drawing>
        <wp:anchor distT="0" distB="0" distL="114300" distR="114300" simplePos="0" relativeHeight="251673600" behindDoc="1" locked="0" layoutInCell="1" allowOverlap="1" wp14:anchorId="2134285A" wp14:editId="68FCD61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407A" w14:textId="77777777" w:rsidR="00000000" w:rsidRDefault="00000000">
    <w:r>
      <w:rPr>
        <w:noProof/>
        <w:lang w:val="en-AU" w:eastAsia="en-AU"/>
      </w:rPr>
      <mc:AlternateContent>
        <mc:Choice Requires="wps">
          <w:drawing>
            <wp:anchor distT="0" distB="0" distL="114300" distR="114300" simplePos="0" relativeHeight="251668480" behindDoc="0" locked="0" layoutInCell="1" allowOverlap="1" wp14:anchorId="5334355D" wp14:editId="14F00AED">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3D4359C"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D2E6" w14:textId="77777777" w:rsidR="00000000" w:rsidRDefault="00000000">
    <w:r>
      <w:rPr>
        <w:noProof/>
      </w:rPr>
      <mc:AlternateContent>
        <mc:Choice Requires="wps">
          <w:drawing>
            <wp:anchor distT="0" distB="0" distL="114300" distR="114300" simplePos="0" relativeHeight="251660288" behindDoc="0" locked="0" layoutInCell="1" allowOverlap="1" wp14:anchorId="57DFED47" wp14:editId="449EAC10">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1870C89"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AC0" w14:textId="77777777" w:rsidR="00000000" w:rsidRPr="003E29B5" w:rsidRDefault="00000000" w:rsidP="008766A4">
    <w:r w:rsidRPr="000C104E">
      <w:rPr>
        <w:noProof/>
      </w:rPr>
      <w:drawing>
        <wp:anchor distT="0" distB="0" distL="114300" distR="114300" simplePos="0" relativeHeight="251662336" behindDoc="1" locked="0" layoutInCell="1" allowOverlap="1" wp14:anchorId="163BB18A" wp14:editId="0B16B8CD">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71CCC87" w14:textId="77777777" w:rsidR="0000000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3A24" w14:textId="77777777" w:rsidR="00000000" w:rsidRDefault="00000000">
    <w:r>
      <w:rPr>
        <w:noProof/>
      </w:rPr>
      <mc:AlternateContent>
        <mc:Choice Requires="wps">
          <w:drawing>
            <wp:anchor distT="0" distB="0" distL="114300" distR="114300" simplePos="0" relativeHeight="251658240" behindDoc="0" locked="0" layoutInCell="1" allowOverlap="1" wp14:anchorId="4127203A" wp14:editId="150C213F">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5389F3A"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CE88BA42">
      <w:start w:val="1"/>
      <w:numFmt w:val="bullet"/>
      <w:pStyle w:val="ESBulletsinTable"/>
      <w:lvlText w:val=""/>
      <w:lvlJc w:val="left"/>
      <w:pPr>
        <w:ind w:left="360" w:hanging="360"/>
      </w:pPr>
      <w:rPr>
        <w:rFonts w:ascii="Symbol" w:hAnsi="Symbol" w:hint="default"/>
        <w:color w:val="AF272F"/>
      </w:rPr>
    </w:lvl>
    <w:lvl w:ilvl="1" w:tplc="19E2699E">
      <w:start w:val="1"/>
      <w:numFmt w:val="bullet"/>
      <w:pStyle w:val="ESBulletsinTableLevel2"/>
      <w:lvlText w:val="o"/>
      <w:lvlJc w:val="left"/>
      <w:pPr>
        <w:ind w:left="1440" w:hanging="360"/>
      </w:pPr>
      <w:rPr>
        <w:rFonts w:ascii="Courier New" w:hAnsi="Courier New" w:cs="Courier New" w:hint="default"/>
      </w:rPr>
    </w:lvl>
    <w:lvl w:ilvl="2" w:tplc="6C32498A" w:tentative="1">
      <w:start w:val="1"/>
      <w:numFmt w:val="bullet"/>
      <w:lvlText w:val=""/>
      <w:lvlJc w:val="left"/>
      <w:pPr>
        <w:ind w:left="2160" w:hanging="360"/>
      </w:pPr>
      <w:rPr>
        <w:rFonts w:ascii="Wingdings" w:hAnsi="Wingdings" w:hint="default"/>
      </w:rPr>
    </w:lvl>
    <w:lvl w:ilvl="3" w:tplc="B072A9C8" w:tentative="1">
      <w:start w:val="1"/>
      <w:numFmt w:val="bullet"/>
      <w:lvlText w:val=""/>
      <w:lvlJc w:val="left"/>
      <w:pPr>
        <w:ind w:left="2880" w:hanging="360"/>
      </w:pPr>
      <w:rPr>
        <w:rFonts w:ascii="Symbol" w:hAnsi="Symbol" w:hint="default"/>
      </w:rPr>
    </w:lvl>
    <w:lvl w:ilvl="4" w:tplc="EEAA7230" w:tentative="1">
      <w:start w:val="1"/>
      <w:numFmt w:val="bullet"/>
      <w:lvlText w:val="o"/>
      <w:lvlJc w:val="left"/>
      <w:pPr>
        <w:ind w:left="3600" w:hanging="360"/>
      </w:pPr>
      <w:rPr>
        <w:rFonts w:ascii="Courier New" w:hAnsi="Courier New" w:cs="Courier New" w:hint="default"/>
      </w:rPr>
    </w:lvl>
    <w:lvl w:ilvl="5" w:tplc="F5266C48" w:tentative="1">
      <w:start w:val="1"/>
      <w:numFmt w:val="bullet"/>
      <w:lvlText w:val=""/>
      <w:lvlJc w:val="left"/>
      <w:pPr>
        <w:ind w:left="4320" w:hanging="360"/>
      </w:pPr>
      <w:rPr>
        <w:rFonts w:ascii="Wingdings" w:hAnsi="Wingdings" w:hint="default"/>
      </w:rPr>
    </w:lvl>
    <w:lvl w:ilvl="6" w:tplc="680C10BE" w:tentative="1">
      <w:start w:val="1"/>
      <w:numFmt w:val="bullet"/>
      <w:lvlText w:val=""/>
      <w:lvlJc w:val="left"/>
      <w:pPr>
        <w:ind w:left="5040" w:hanging="360"/>
      </w:pPr>
      <w:rPr>
        <w:rFonts w:ascii="Symbol" w:hAnsi="Symbol" w:hint="default"/>
      </w:rPr>
    </w:lvl>
    <w:lvl w:ilvl="7" w:tplc="984ADABC" w:tentative="1">
      <w:start w:val="1"/>
      <w:numFmt w:val="bullet"/>
      <w:lvlText w:val="o"/>
      <w:lvlJc w:val="left"/>
      <w:pPr>
        <w:ind w:left="5760" w:hanging="360"/>
      </w:pPr>
      <w:rPr>
        <w:rFonts w:ascii="Courier New" w:hAnsi="Courier New" w:cs="Courier New" w:hint="default"/>
      </w:rPr>
    </w:lvl>
    <w:lvl w:ilvl="8" w:tplc="07B28A1E"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7B446C14">
      <w:start w:val="1"/>
      <w:numFmt w:val="bullet"/>
      <w:lvlText w:val=""/>
      <w:lvlJc w:val="left"/>
      <w:pPr>
        <w:ind w:left="720" w:hanging="360"/>
      </w:pPr>
      <w:rPr>
        <w:rFonts w:ascii="Symbol" w:hAnsi="Symbol"/>
      </w:rPr>
    </w:lvl>
    <w:lvl w:ilvl="1" w:tplc="D9F07C96">
      <w:start w:val="1"/>
      <w:numFmt w:val="bullet"/>
      <w:lvlText w:val="o"/>
      <w:lvlJc w:val="left"/>
      <w:pPr>
        <w:tabs>
          <w:tab w:val="num" w:pos="1440"/>
        </w:tabs>
        <w:ind w:left="1440" w:hanging="360"/>
      </w:pPr>
      <w:rPr>
        <w:rFonts w:ascii="Courier New" w:hAnsi="Courier New"/>
      </w:rPr>
    </w:lvl>
    <w:lvl w:ilvl="2" w:tplc="E5F8ED60">
      <w:start w:val="1"/>
      <w:numFmt w:val="bullet"/>
      <w:lvlText w:val=""/>
      <w:lvlJc w:val="left"/>
      <w:pPr>
        <w:tabs>
          <w:tab w:val="num" w:pos="2160"/>
        </w:tabs>
        <w:ind w:left="2160" w:hanging="360"/>
      </w:pPr>
      <w:rPr>
        <w:rFonts w:ascii="Wingdings" w:hAnsi="Wingdings"/>
      </w:rPr>
    </w:lvl>
    <w:lvl w:ilvl="3" w:tplc="1EC256A0">
      <w:start w:val="1"/>
      <w:numFmt w:val="bullet"/>
      <w:lvlText w:val=""/>
      <w:lvlJc w:val="left"/>
      <w:pPr>
        <w:tabs>
          <w:tab w:val="num" w:pos="2880"/>
        </w:tabs>
        <w:ind w:left="2880" w:hanging="360"/>
      </w:pPr>
      <w:rPr>
        <w:rFonts w:ascii="Symbol" w:hAnsi="Symbol"/>
      </w:rPr>
    </w:lvl>
    <w:lvl w:ilvl="4" w:tplc="91029992">
      <w:start w:val="1"/>
      <w:numFmt w:val="bullet"/>
      <w:lvlText w:val="o"/>
      <w:lvlJc w:val="left"/>
      <w:pPr>
        <w:tabs>
          <w:tab w:val="num" w:pos="3600"/>
        </w:tabs>
        <w:ind w:left="3600" w:hanging="360"/>
      </w:pPr>
      <w:rPr>
        <w:rFonts w:ascii="Courier New" w:hAnsi="Courier New"/>
      </w:rPr>
    </w:lvl>
    <w:lvl w:ilvl="5" w:tplc="E3FAAAF2">
      <w:start w:val="1"/>
      <w:numFmt w:val="bullet"/>
      <w:lvlText w:val=""/>
      <w:lvlJc w:val="left"/>
      <w:pPr>
        <w:tabs>
          <w:tab w:val="num" w:pos="4320"/>
        </w:tabs>
        <w:ind w:left="4320" w:hanging="360"/>
      </w:pPr>
      <w:rPr>
        <w:rFonts w:ascii="Wingdings" w:hAnsi="Wingdings"/>
      </w:rPr>
    </w:lvl>
    <w:lvl w:ilvl="6" w:tplc="9CD0853A">
      <w:start w:val="1"/>
      <w:numFmt w:val="bullet"/>
      <w:lvlText w:val=""/>
      <w:lvlJc w:val="left"/>
      <w:pPr>
        <w:tabs>
          <w:tab w:val="num" w:pos="5040"/>
        </w:tabs>
        <w:ind w:left="5040" w:hanging="360"/>
      </w:pPr>
      <w:rPr>
        <w:rFonts w:ascii="Symbol" w:hAnsi="Symbol"/>
      </w:rPr>
    </w:lvl>
    <w:lvl w:ilvl="7" w:tplc="78B42002">
      <w:start w:val="1"/>
      <w:numFmt w:val="bullet"/>
      <w:lvlText w:val="o"/>
      <w:lvlJc w:val="left"/>
      <w:pPr>
        <w:tabs>
          <w:tab w:val="num" w:pos="5760"/>
        </w:tabs>
        <w:ind w:left="5760" w:hanging="360"/>
      </w:pPr>
      <w:rPr>
        <w:rFonts w:ascii="Courier New" w:hAnsi="Courier New"/>
      </w:rPr>
    </w:lvl>
    <w:lvl w:ilvl="8" w:tplc="54B866EA">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C7709D9E">
      <w:start w:val="1"/>
      <w:numFmt w:val="bullet"/>
      <w:lvlText w:val=""/>
      <w:lvlJc w:val="left"/>
      <w:pPr>
        <w:ind w:left="720" w:hanging="360"/>
      </w:pPr>
      <w:rPr>
        <w:rFonts w:ascii="Symbol" w:hAnsi="Symbol"/>
      </w:rPr>
    </w:lvl>
    <w:lvl w:ilvl="1" w:tplc="55643F6E">
      <w:start w:val="1"/>
      <w:numFmt w:val="bullet"/>
      <w:lvlText w:val="o"/>
      <w:lvlJc w:val="left"/>
      <w:pPr>
        <w:tabs>
          <w:tab w:val="num" w:pos="1440"/>
        </w:tabs>
        <w:ind w:left="1440" w:hanging="360"/>
      </w:pPr>
      <w:rPr>
        <w:rFonts w:ascii="Courier New" w:hAnsi="Courier New"/>
      </w:rPr>
    </w:lvl>
    <w:lvl w:ilvl="2" w:tplc="AAEA6E08">
      <w:start w:val="1"/>
      <w:numFmt w:val="bullet"/>
      <w:lvlText w:val=""/>
      <w:lvlJc w:val="left"/>
      <w:pPr>
        <w:tabs>
          <w:tab w:val="num" w:pos="2160"/>
        </w:tabs>
        <w:ind w:left="2160" w:hanging="360"/>
      </w:pPr>
      <w:rPr>
        <w:rFonts w:ascii="Wingdings" w:hAnsi="Wingdings"/>
      </w:rPr>
    </w:lvl>
    <w:lvl w:ilvl="3" w:tplc="C73AADBE">
      <w:start w:val="1"/>
      <w:numFmt w:val="bullet"/>
      <w:lvlText w:val=""/>
      <w:lvlJc w:val="left"/>
      <w:pPr>
        <w:tabs>
          <w:tab w:val="num" w:pos="2880"/>
        </w:tabs>
        <w:ind w:left="2880" w:hanging="360"/>
      </w:pPr>
      <w:rPr>
        <w:rFonts w:ascii="Symbol" w:hAnsi="Symbol"/>
      </w:rPr>
    </w:lvl>
    <w:lvl w:ilvl="4" w:tplc="F5DCA7F4">
      <w:start w:val="1"/>
      <w:numFmt w:val="bullet"/>
      <w:lvlText w:val="o"/>
      <w:lvlJc w:val="left"/>
      <w:pPr>
        <w:tabs>
          <w:tab w:val="num" w:pos="3600"/>
        </w:tabs>
        <w:ind w:left="3600" w:hanging="360"/>
      </w:pPr>
      <w:rPr>
        <w:rFonts w:ascii="Courier New" w:hAnsi="Courier New"/>
      </w:rPr>
    </w:lvl>
    <w:lvl w:ilvl="5" w:tplc="A6767F5A">
      <w:start w:val="1"/>
      <w:numFmt w:val="bullet"/>
      <w:lvlText w:val=""/>
      <w:lvlJc w:val="left"/>
      <w:pPr>
        <w:tabs>
          <w:tab w:val="num" w:pos="4320"/>
        </w:tabs>
        <w:ind w:left="4320" w:hanging="360"/>
      </w:pPr>
      <w:rPr>
        <w:rFonts w:ascii="Wingdings" w:hAnsi="Wingdings"/>
      </w:rPr>
    </w:lvl>
    <w:lvl w:ilvl="6" w:tplc="05FC0BAC">
      <w:start w:val="1"/>
      <w:numFmt w:val="bullet"/>
      <w:lvlText w:val=""/>
      <w:lvlJc w:val="left"/>
      <w:pPr>
        <w:tabs>
          <w:tab w:val="num" w:pos="5040"/>
        </w:tabs>
        <w:ind w:left="5040" w:hanging="360"/>
      </w:pPr>
      <w:rPr>
        <w:rFonts w:ascii="Symbol" w:hAnsi="Symbol"/>
      </w:rPr>
    </w:lvl>
    <w:lvl w:ilvl="7" w:tplc="32207C6C">
      <w:start w:val="1"/>
      <w:numFmt w:val="bullet"/>
      <w:lvlText w:val="o"/>
      <w:lvlJc w:val="left"/>
      <w:pPr>
        <w:tabs>
          <w:tab w:val="num" w:pos="5760"/>
        </w:tabs>
        <w:ind w:left="5760" w:hanging="360"/>
      </w:pPr>
      <w:rPr>
        <w:rFonts w:ascii="Courier New" w:hAnsi="Courier New"/>
      </w:rPr>
    </w:lvl>
    <w:lvl w:ilvl="8" w:tplc="BB4A9E80">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D6B67FC4">
      <w:start w:val="1"/>
      <w:numFmt w:val="bullet"/>
      <w:lvlText w:val=""/>
      <w:lvlJc w:val="left"/>
      <w:pPr>
        <w:ind w:left="720" w:hanging="360"/>
      </w:pPr>
      <w:rPr>
        <w:rFonts w:ascii="Symbol" w:hAnsi="Symbol"/>
      </w:rPr>
    </w:lvl>
    <w:lvl w:ilvl="1" w:tplc="F118DA70">
      <w:start w:val="1"/>
      <w:numFmt w:val="bullet"/>
      <w:lvlText w:val="o"/>
      <w:lvlJc w:val="left"/>
      <w:pPr>
        <w:tabs>
          <w:tab w:val="num" w:pos="1440"/>
        </w:tabs>
        <w:ind w:left="1440" w:hanging="360"/>
      </w:pPr>
      <w:rPr>
        <w:rFonts w:ascii="Courier New" w:hAnsi="Courier New"/>
      </w:rPr>
    </w:lvl>
    <w:lvl w:ilvl="2" w:tplc="A4340328">
      <w:start w:val="1"/>
      <w:numFmt w:val="bullet"/>
      <w:lvlText w:val=""/>
      <w:lvlJc w:val="left"/>
      <w:pPr>
        <w:tabs>
          <w:tab w:val="num" w:pos="2160"/>
        </w:tabs>
        <w:ind w:left="2160" w:hanging="360"/>
      </w:pPr>
      <w:rPr>
        <w:rFonts w:ascii="Wingdings" w:hAnsi="Wingdings"/>
      </w:rPr>
    </w:lvl>
    <w:lvl w:ilvl="3" w:tplc="727673BE">
      <w:start w:val="1"/>
      <w:numFmt w:val="bullet"/>
      <w:lvlText w:val=""/>
      <w:lvlJc w:val="left"/>
      <w:pPr>
        <w:tabs>
          <w:tab w:val="num" w:pos="2880"/>
        </w:tabs>
        <w:ind w:left="2880" w:hanging="360"/>
      </w:pPr>
      <w:rPr>
        <w:rFonts w:ascii="Symbol" w:hAnsi="Symbol"/>
      </w:rPr>
    </w:lvl>
    <w:lvl w:ilvl="4" w:tplc="D33E7866">
      <w:start w:val="1"/>
      <w:numFmt w:val="bullet"/>
      <w:lvlText w:val="o"/>
      <w:lvlJc w:val="left"/>
      <w:pPr>
        <w:tabs>
          <w:tab w:val="num" w:pos="3600"/>
        </w:tabs>
        <w:ind w:left="3600" w:hanging="360"/>
      </w:pPr>
      <w:rPr>
        <w:rFonts w:ascii="Courier New" w:hAnsi="Courier New"/>
      </w:rPr>
    </w:lvl>
    <w:lvl w:ilvl="5" w:tplc="5CC8DC6C">
      <w:start w:val="1"/>
      <w:numFmt w:val="bullet"/>
      <w:lvlText w:val=""/>
      <w:lvlJc w:val="left"/>
      <w:pPr>
        <w:tabs>
          <w:tab w:val="num" w:pos="4320"/>
        </w:tabs>
        <w:ind w:left="4320" w:hanging="360"/>
      </w:pPr>
      <w:rPr>
        <w:rFonts w:ascii="Wingdings" w:hAnsi="Wingdings"/>
      </w:rPr>
    </w:lvl>
    <w:lvl w:ilvl="6" w:tplc="A3103EFC">
      <w:start w:val="1"/>
      <w:numFmt w:val="bullet"/>
      <w:lvlText w:val=""/>
      <w:lvlJc w:val="left"/>
      <w:pPr>
        <w:tabs>
          <w:tab w:val="num" w:pos="5040"/>
        </w:tabs>
        <w:ind w:left="5040" w:hanging="360"/>
      </w:pPr>
      <w:rPr>
        <w:rFonts w:ascii="Symbol" w:hAnsi="Symbol"/>
      </w:rPr>
    </w:lvl>
    <w:lvl w:ilvl="7" w:tplc="9648B0EC">
      <w:start w:val="1"/>
      <w:numFmt w:val="bullet"/>
      <w:lvlText w:val="o"/>
      <w:lvlJc w:val="left"/>
      <w:pPr>
        <w:tabs>
          <w:tab w:val="num" w:pos="5760"/>
        </w:tabs>
        <w:ind w:left="5760" w:hanging="360"/>
      </w:pPr>
      <w:rPr>
        <w:rFonts w:ascii="Courier New" w:hAnsi="Courier New"/>
      </w:rPr>
    </w:lvl>
    <w:lvl w:ilvl="8" w:tplc="DB422142">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32EAA4F8">
      <w:start w:val="1"/>
      <w:numFmt w:val="bullet"/>
      <w:lvlText w:val=""/>
      <w:lvlJc w:val="left"/>
      <w:pPr>
        <w:ind w:left="720" w:hanging="360"/>
      </w:pPr>
      <w:rPr>
        <w:rFonts w:ascii="Symbol" w:hAnsi="Symbol"/>
      </w:rPr>
    </w:lvl>
    <w:lvl w:ilvl="1" w:tplc="38F8CDF6">
      <w:start w:val="1"/>
      <w:numFmt w:val="bullet"/>
      <w:lvlText w:val="o"/>
      <w:lvlJc w:val="left"/>
      <w:pPr>
        <w:tabs>
          <w:tab w:val="num" w:pos="1440"/>
        </w:tabs>
        <w:ind w:left="1440" w:hanging="360"/>
      </w:pPr>
      <w:rPr>
        <w:rFonts w:ascii="Courier New" w:hAnsi="Courier New"/>
      </w:rPr>
    </w:lvl>
    <w:lvl w:ilvl="2" w:tplc="0DD85D42">
      <w:start w:val="1"/>
      <w:numFmt w:val="bullet"/>
      <w:lvlText w:val=""/>
      <w:lvlJc w:val="left"/>
      <w:pPr>
        <w:tabs>
          <w:tab w:val="num" w:pos="2160"/>
        </w:tabs>
        <w:ind w:left="2160" w:hanging="360"/>
      </w:pPr>
      <w:rPr>
        <w:rFonts w:ascii="Wingdings" w:hAnsi="Wingdings"/>
      </w:rPr>
    </w:lvl>
    <w:lvl w:ilvl="3" w:tplc="31E6C0EE">
      <w:start w:val="1"/>
      <w:numFmt w:val="bullet"/>
      <w:lvlText w:val=""/>
      <w:lvlJc w:val="left"/>
      <w:pPr>
        <w:tabs>
          <w:tab w:val="num" w:pos="2880"/>
        </w:tabs>
        <w:ind w:left="2880" w:hanging="360"/>
      </w:pPr>
      <w:rPr>
        <w:rFonts w:ascii="Symbol" w:hAnsi="Symbol"/>
      </w:rPr>
    </w:lvl>
    <w:lvl w:ilvl="4" w:tplc="10F84D72">
      <w:start w:val="1"/>
      <w:numFmt w:val="bullet"/>
      <w:lvlText w:val="o"/>
      <w:lvlJc w:val="left"/>
      <w:pPr>
        <w:tabs>
          <w:tab w:val="num" w:pos="3600"/>
        </w:tabs>
        <w:ind w:left="3600" w:hanging="360"/>
      </w:pPr>
      <w:rPr>
        <w:rFonts w:ascii="Courier New" w:hAnsi="Courier New"/>
      </w:rPr>
    </w:lvl>
    <w:lvl w:ilvl="5" w:tplc="97B0BD02">
      <w:start w:val="1"/>
      <w:numFmt w:val="bullet"/>
      <w:lvlText w:val=""/>
      <w:lvlJc w:val="left"/>
      <w:pPr>
        <w:tabs>
          <w:tab w:val="num" w:pos="4320"/>
        </w:tabs>
        <w:ind w:left="4320" w:hanging="360"/>
      </w:pPr>
      <w:rPr>
        <w:rFonts w:ascii="Wingdings" w:hAnsi="Wingdings"/>
      </w:rPr>
    </w:lvl>
    <w:lvl w:ilvl="6" w:tplc="9BA8E382">
      <w:start w:val="1"/>
      <w:numFmt w:val="bullet"/>
      <w:lvlText w:val=""/>
      <w:lvlJc w:val="left"/>
      <w:pPr>
        <w:tabs>
          <w:tab w:val="num" w:pos="5040"/>
        </w:tabs>
        <w:ind w:left="5040" w:hanging="360"/>
      </w:pPr>
      <w:rPr>
        <w:rFonts w:ascii="Symbol" w:hAnsi="Symbol"/>
      </w:rPr>
    </w:lvl>
    <w:lvl w:ilvl="7" w:tplc="B6A43416">
      <w:start w:val="1"/>
      <w:numFmt w:val="bullet"/>
      <w:lvlText w:val="o"/>
      <w:lvlJc w:val="left"/>
      <w:pPr>
        <w:tabs>
          <w:tab w:val="num" w:pos="5760"/>
        </w:tabs>
        <w:ind w:left="5760" w:hanging="360"/>
      </w:pPr>
      <w:rPr>
        <w:rFonts w:ascii="Courier New" w:hAnsi="Courier New"/>
      </w:rPr>
    </w:lvl>
    <w:lvl w:ilvl="8" w:tplc="BF5CA54E">
      <w:start w:val="1"/>
      <w:numFmt w:val="bullet"/>
      <w:lvlText w:val=""/>
      <w:lvlJc w:val="left"/>
      <w:pPr>
        <w:tabs>
          <w:tab w:val="num" w:pos="6480"/>
        </w:tabs>
        <w:ind w:left="6480" w:hanging="360"/>
      </w:pPr>
      <w:rPr>
        <w:rFonts w:ascii="Wingdings" w:hAnsi="Wingdings"/>
      </w:rPr>
    </w:lvl>
  </w:abstractNum>
  <w:num w:numId="1" w16cid:durableId="1702971793">
    <w:abstractNumId w:val="10"/>
  </w:num>
  <w:num w:numId="2" w16cid:durableId="370109161">
    <w:abstractNumId w:val="8"/>
  </w:num>
  <w:num w:numId="3" w16cid:durableId="701789923">
    <w:abstractNumId w:val="7"/>
  </w:num>
  <w:num w:numId="4" w16cid:durableId="5597542">
    <w:abstractNumId w:val="6"/>
  </w:num>
  <w:num w:numId="5" w16cid:durableId="1573931401">
    <w:abstractNumId w:val="5"/>
  </w:num>
  <w:num w:numId="6" w16cid:durableId="391854787">
    <w:abstractNumId w:val="9"/>
  </w:num>
  <w:num w:numId="7" w16cid:durableId="2080324262">
    <w:abstractNumId w:val="4"/>
  </w:num>
  <w:num w:numId="8" w16cid:durableId="980235983">
    <w:abstractNumId w:val="3"/>
  </w:num>
  <w:num w:numId="9" w16cid:durableId="2023585575">
    <w:abstractNumId w:val="2"/>
  </w:num>
  <w:num w:numId="10" w16cid:durableId="1039668339">
    <w:abstractNumId w:val="1"/>
  </w:num>
  <w:num w:numId="11" w16cid:durableId="930312909">
    <w:abstractNumId w:val="0"/>
  </w:num>
  <w:num w:numId="12" w16cid:durableId="344064450">
    <w:abstractNumId w:val="11"/>
  </w:num>
  <w:num w:numId="13" w16cid:durableId="1864975913">
    <w:abstractNumId w:val="16"/>
  </w:num>
  <w:num w:numId="14" w16cid:durableId="343627120">
    <w:abstractNumId w:val="14"/>
  </w:num>
  <w:num w:numId="15" w16cid:durableId="52431497">
    <w:abstractNumId w:val="15"/>
  </w:num>
  <w:num w:numId="16" w16cid:durableId="1658194408">
    <w:abstractNumId w:val="12"/>
  </w:num>
  <w:num w:numId="17" w16cid:durableId="1621297913">
    <w:abstractNumId w:val="13"/>
  </w:num>
  <w:num w:numId="18" w16cid:durableId="1511868798">
    <w:abstractNumId w:val="17"/>
  </w:num>
  <w:num w:numId="19" w16cid:durableId="595870867">
    <w:abstractNumId w:val="18"/>
  </w:num>
  <w:num w:numId="20" w16cid:durableId="962418834">
    <w:abstractNumId w:val="19"/>
  </w:num>
  <w:num w:numId="21" w16cid:durableId="220598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F5"/>
    <w:rsid w:val="004F2FF5"/>
    <w:rsid w:val="005127A0"/>
    <w:rsid w:val="0067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373B"/>
  <w15:docId w15:val="{759E3E53-9737-4ACE-BE99-7F39D8FD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3.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Sandra James</cp:lastModifiedBy>
  <cp:revision>2</cp:revision>
  <dcterms:created xsi:type="dcterms:W3CDTF">2023-11-27T04:36:00Z</dcterms:created>
  <dcterms:modified xsi:type="dcterms:W3CDTF">2023-11-27T04:36:00Z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